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Class Debate Rubric (ages 11-13)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Suggested criteria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Organization of ideas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Ideas are clear and logically organized, making an especially focused argument. As a result, argument is very persuasive.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Argument keeps to required length of time.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Ideas are clear and logically organized, making a focused argument. As a result, argument is persuasive.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Argument may go very slightly above or below required length of time.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Ideas may be somewhat unclear or illogically organized. As a result, argument may lack clarity and/or focus.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Argument may go significantly above or below required length of time.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Ideas are unclear and/or illogically organized, making any argument difficult or impossible to follow.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Content and accuracy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Argument is supported with especially well chosen evidence and/or reasoning.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Evidence/reasoning is completely accurate and/or logical.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Argument is supported with appropriate evidence and/or reasoning.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Evidence/reasoning is accurate and/or logical.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is an attempt to support argument with evidence and/or reasoning, but it may be lacking.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Some evidence/reasoning may be notably inaccurate and/or illogical.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is no evidence or reasoning to support argument.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18"/>
                <w:szCs w:val="18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Most evidence/reasoning is inaccurate and/or illogical.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Delivery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Student’s posture is open and confident. Student makes eye contact often, across the whole audience. Student only uses notes as a helpful tool and does not directly read from them.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Student speaks clearly and at a natural pace. Student’s volume is fitting and steady.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Student pays clear attention to using formal English throughout the presentation.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Student’s posture is mostly open. 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Student looks at the audience for most of the presentation. Student may look at notes often, but student rarely reads from them directly.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Student speaks mostly clearly, but the pace may be slightly faster or slower than natural. Volume is fitting for most of the presentation.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Student tries to use formal English in some parts of the presentation.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Student’s posture is somewhat closed. Student does not look at the audience for most of the presentation. Student may spend a lot of time reading from notes.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Some parts of the presentation may be difficult to follow because the student is not speaking clearly, because of the student’s speaking pace, or because of the student’s volume.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Student does not try to use formal English.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is little or no effort at keeping the audience’s attention with body language. Presenter may simply read notes aloud the entire presentation.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Most or all of the presentation may be difficult to follow because the student is not speaking clearly, because of the student’s speaking pace, or because of the student’s volume.</w:t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mallCaps w:val="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z w:val="20"/>
          <w:szCs w:val="20"/>
          <w:rtl w:val="0"/>
        </w:rPr>
        <w:t xml:space="preserve">Optional criterion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Teamwork and preparation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Team has clearly worked well together, so that teammates’ arguments build on one another.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is evidence of teamwork, so that teammates’ arguments do not repeat one another too much.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is little evidence of teamwork. There may be a notable overlap in teammates’ arguments.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8"/>
                <w:szCs w:val="18"/>
                <w:rtl w:val="0"/>
              </w:rPr>
              <w:t xml:space="preserve">There is no evidence of teamwork. Arguments are very repetitive, or they present opposing points.</w:t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</w:pPr>
    <w:rPr>
      <w:smallCaps w:val="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</w:pPr>
    <w:rPr>
      <w:smallCaps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</w:pPr>
    <w:rPr>
      <w:smallCaps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</w:pPr>
    <w:rPr>
      <w:smallCaps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smallCaps w:val="0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i w:val="1"/>
      <w:smallCaps w:val="0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="240" w:lineRule="auto"/>
    </w:pPr>
    <w:rPr>
      <w:smallCaps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line="240" w:lineRule="auto"/>
    </w:pPr>
    <w:rPr>
      <w:smallCaps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Ss6S5IzmBjZEAfjfNiE7N5Tbg==">AMUW2mUjwMta93N1BgBwYZKjzJJryLlNMoN5zwfTgp8IU4aMHU/ayWbTNINdwP8QJxCnzdB94sjFEoEdz5f3RwcC5ueaqDgsPQURr7uSeoQ7xiezyxoSIlI=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